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30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projeto de pesquisa vinculado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ao Instituto Metrópole Digital.</w:t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CDA, usando das atribuições que lhe confere, Artigo 25, Inciso XX, do regimento interno do IMD,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23077.181767/2025-07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Aprovar Projeto de Pesquisa </w:t>
      </w: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Serviços Urbanos Inteligentes: Dashboards Integrados e Computação na Borda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, em parceria com a ZAORI DATA LTDA e EMBRAPII METRÓPOLE DIGITAL, coordenado pelo Prof Frederico Araújo da Silva Lopes.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Esta Resolução entra em vigor a partir da data de sua publicação, revogadas as disposições em contrário.</w:t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6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-34283</wp:posOffset>
              </wp:positionH>
              <wp:positionV relativeFrom="paragraph">
                <wp:posOffset>-311143</wp:posOffset>
              </wp:positionV>
              <wp:extent cx="2257425" cy="953770"/>
              <wp:wrapSquare wrapText="bothSides" distB="45720" distT="45720" distL="114300" distR="114300"/>
              <wp:docPr id="1037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-34283</wp:posOffset>
              </wp:positionH>
              <wp:positionV relativeFrom="paragraph">
                <wp:posOffset>-311143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7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g7OjFTegRtQ7bek4BhOYO6I9AA==">CgMxLjA4AHIhMTM3MDdfa1JxNGZLYXY4NDE5Y21pdlBjOGxHYWJ4XzNW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